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A8" w:rsidRPr="00AE031E" w:rsidRDefault="006B6429" w:rsidP="00AE031E">
      <w:pPr>
        <w:pStyle w:val="Titre"/>
      </w:pPr>
      <w:bookmarkStart w:id="0" w:name="TM254"/>
      <w:r w:rsidRPr="00AE031E">
        <w:t>Les trois périodes de l’histoire d’Israël</w:t>
      </w:r>
      <w:bookmarkEnd w:id="0"/>
    </w:p>
    <w:p w:rsidR="00D322A8" w:rsidRDefault="006B6429" w:rsidP="00AE031E">
      <w:pPr>
        <w:rPr>
          <w:lang w:val="fr-FR"/>
        </w:rPr>
      </w:pPr>
      <w:r>
        <w:rPr>
          <w:lang w:val="fr-FR"/>
        </w:rPr>
        <w:t>Les quinze siècles qui séparent Moïse de la première venue de Christ sur la terre sont partagés par la Parole en trois grandes périodes, de durées à peu près égales. Chacune d’elles, d’environ soixante-dix semaines d’années (soit 490 ans), présente des offres spéciales de bénédiction au peuple et s’achève sur la ruine du témoignage qui lui avait été confié.</w:t>
      </w:r>
    </w:p>
    <w:p w:rsidR="00D322A8" w:rsidRDefault="006B6429">
      <w:pPr>
        <w:pStyle w:val="Titre3"/>
        <w:rPr>
          <w:rFonts w:eastAsia="Times New Roman"/>
          <w:lang w:val="fr-FR"/>
        </w:rPr>
      </w:pPr>
      <w:bookmarkStart w:id="1" w:name="TM255"/>
      <w:r>
        <w:rPr>
          <w:rFonts w:eastAsia="Times New Roman"/>
          <w:lang w:val="fr-FR"/>
        </w:rPr>
        <w:t>De la sortie d’Égypte à l’établissement de la royauté avec Salomon :</w:t>
      </w:r>
      <w:bookmarkStart w:id="2" w:name="_GoBack"/>
      <w:bookmarkEnd w:id="1"/>
      <w:bookmarkEnd w:id="2"/>
    </w:p>
    <w:p w:rsidR="00D322A8" w:rsidRDefault="006B6429" w:rsidP="00AE031E">
      <w:pPr>
        <w:rPr>
          <w:lang w:val="fr-FR"/>
        </w:rPr>
      </w:pPr>
      <w:r>
        <w:rPr>
          <w:lang w:val="fr-FR"/>
        </w:rPr>
        <w:t>Selon le témoignage de l’écriture, la durée de cette période s’établit comme suit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036"/>
        <w:gridCol w:w="2268"/>
        <w:gridCol w:w="1475"/>
      </w:tblGrid>
      <w:tr w:rsidR="00D322A8" w:rsidTr="00AE031E">
        <w:trPr>
          <w:jc w:val="center"/>
        </w:trPr>
        <w:tc>
          <w:tcPr>
            <w:tcW w:w="6036" w:type="dxa"/>
            <w:tcBorders>
              <w:top w:val="single" w:sz="4" w:space="0" w:color="auto"/>
              <w:left w:val="single" w:sz="4" w:space="0" w:color="auto"/>
              <w:bottom w:val="single" w:sz="4" w:space="0" w:color="auto"/>
              <w:right w:val="single" w:sz="4" w:space="0" w:color="auto"/>
            </w:tcBorders>
            <w:hideMark/>
          </w:tcPr>
          <w:p w:rsidR="00D322A8" w:rsidRDefault="00AE031E" w:rsidP="00DB0C03">
            <w:pPr>
              <w:jc w:val="left"/>
            </w:pPr>
            <w:r>
              <w:rPr>
                <w:lang w:val="fr-FR"/>
              </w:rPr>
              <w:t>P</w:t>
            </w:r>
            <w:r w:rsidR="006B6429">
              <w:rPr>
                <w:lang w:val="fr-FR"/>
              </w:rPr>
              <w:t>ériode</w:t>
            </w:r>
          </w:p>
        </w:tc>
        <w:tc>
          <w:tcPr>
            <w:tcW w:w="2268"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Passages de l’Écriture</w:t>
            </w:r>
          </w:p>
        </w:tc>
        <w:tc>
          <w:tcPr>
            <w:tcW w:w="1475"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Années</w:t>
            </w:r>
          </w:p>
        </w:tc>
      </w:tr>
      <w:tr w:rsidR="00D322A8" w:rsidTr="00AE031E">
        <w:trPr>
          <w:jc w:val="center"/>
        </w:trPr>
        <w:tc>
          <w:tcPr>
            <w:tcW w:w="603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 xml:space="preserve">De la sortie d’Égypte à la fondation du temple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1 Rois 6:1</w:t>
            </w:r>
          </w:p>
        </w:tc>
        <w:tc>
          <w:tcPr>
            <w:tcW w:w="1475"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480</w:t>
            </w:r>
          </w:p>
        </w:tc>
      </w:tr>
      <w:tr w:rsidR="00D322A8" w:rsidTr="00AE031E">
        <w:trPr>
          <w:jc w:val="center"/>
        </w:trPr>
        <w:tc>
          <w:tcPr>
            <w:tcW w:w="603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 xml:space="preserve">Construction du temple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1 Rois 6:38</w:t>
            </w:r>
          </w:p>
        </w:tc>
        <w:tc>
          <w:tcPr>
            <w:tcW w:w="1475"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7</w:t>
            </w:r>
          </w:p>
        </w:tc>
      </w:tr>
      <w:tr w:rsidR="00D322A8" w:rsidTr="00AE031E">
        <w:trPr>
          <w:jc w:val="center"/>
        </w:trPr>
        <w:tc>
          <w:tcPr>
            <w:tcW w:w="603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Temps probable de l’aménagement du temple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t> </w:t>
            </w:r>
          </w:p>
        </w:tc>
        <w:tc>
          <w:tcPr>
            <w:tcW w:w="1475"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3</w:t>
            </w:r>
          </w:p>
        </w:tc>
      </w:tr>
      <w:tr w:rsidR="00D322A8" w:rsidTr="00AE031E">
        <w:trPr>
          <w:jc w:val="center"/>
        </w:trPr>
        <w:tc>
          <w:tcPr>
            <w:tcW w:w="603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t> </w:t>
            </w:r>
          </w:p>
        </w:tc>
        <w:tc>
          <w:tcPr>
            <w:tcW w:w="2268"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Total :</w:t>
            </w:r>
          </w:p>
        </w:tc>
        <w:tc>
          <w:tcPr>
            <w:tcW w:w="1475" w:type="dxa"/>
            <w:tcBorders>
              <w:top w:val="single" w:sz="4" w:space="0" w:color="auto"/>
              <w:left w:val="single" w:sz="4" w:space="0" w:color="auto"/>
              <w:bottom w:val="single" w:sz="4" w:space="0" w:color="auto"/>
              <w:right w:val="single" w:sz="4" w:space="0" w:color="auto"/>
            </w:tcBorders>
            <w:vAlign w:val="center"/>
            <w:hideMark/>
          </w:tcPr>
          <w:p w:rsidR="00D322A8" w:rsidRDefault="006B6429" w:rsidP="00DB0C03">
            <w:pPr>
              <w:jc w:val="left"/>
            </w:pPr>
            <w:r>
              <w:rPr>
                <w:lang w:val="fr-FR"/>
              </w:rPr>
              <w:t>490</w:t>
            </w:r>
          </w:p>
        </w:tc>
      </w:tr>
    </w:tbl>
    <w:p w:rsidR="00D322A8" w:rsidRDefault="006B6429" w:rsidP="00DB0C03">
      <w:pPr>
        <w:rPr>
          <w:lang w:val="fr-FR"/>
        </w:rPr>
      </w:pPr>
      <w:r>
        <w:rPr>
          <w:lang w:val="fr-FR"/>
        </w:rPr>
        <w:t> La durée historique exacte de ces mêmes événements ne nous est pas connue avec précision. Peut-être est-elle différente de la durée ci-dessus. En tout état de cause, la Parole (le seul guide sûr) souligne sept périodes pendant lesquelles le peuple de Dieu a été asservi à ses ennemis par suite de son infidélité (pendant le temps des juges).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9"/>
        <w:gridCol w:w="3260"/>
        <w:gridCol w:w="2694"/>
        <w:gridCol w:w="1275"/>
      </w:tblGrid>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 </w:t>
            </w:r>
            <w:r>
              <w:t> </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Ennemi asservissant</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Passages de l’Écriture</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Années</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proofErr w:type="spellStart"/>
            <w:r>
              <w:rPr>
                <w:lang w:val="fr-FR"/>
              </w:rPr>
              <w:t>Cushan-Rishathaïm</w:t>
            </w:r>
            <w:proofErr w:type="spellEnd"/>
            <w:r>
              <w:rPr>
                <w:lang w:val="fr-FR"/>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3:8</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8</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proofErr w:type="spellStart"/>
            <w:r>
              <w:rPr>
                <w:lang w:val="fr-FR"/>
              </w:rPr>
              <w:t>Églon</w:t>
            </w:r>
            <w:proofErr w:type="spellEnd"/>
            <w:r>
              <w:rPr>
                <w:lang w:val="fr-FR"/>
              </w:rPr>
              <w:t xml:space="preserve">, roi de Moab </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3:14</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18</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3</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proofErr w:type="spellStart"/>
            <w:r>
              <w:rPr>
                <w:lang w:val="fr-FR"/>
              </w:rPr>
              <w:t>Jabin</w:t>
            </w:r>
            <w:proofErr w:type="spellEnd"/>
            <w:r>
              <w:rPr>
                <w:lang w:val="fr-FR"/>
              </w:rPr>
              <w:t xml:space="preserve">, roi de Canaan </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4:3</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20</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4</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r>
              <w:rPr>
                <w:lang w:val="fr-FR"/>
              </w:rPr>
              <w:t>Madian</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6:1</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7</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5</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r>
              <w:rPr>
                <w:lang w:val="fr-FR"/>
              </w:rPr>
              <w:t xml:space="preserve">Philistins et fils d’Ammon </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10:8</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18</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6</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r>
              <w:rPr>
                <w:lang w:val="fr-FR"/>
              </w:rPr>
              <w:t>Philistins</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Jug</w:t>
            </w:r>
            <w:proofErr w:type="spellEnd"/>
            <w:r>
              <w:rPr>
                <w:lang w:val="fr-FR"/>
              </w:rPr>
              <w:t>. 13:1</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40</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7</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r>
              <w:rPr>
                <w:lang w:val="fr-FR"/>
              </w:rPr>
              <w:t>Philistins</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 Sam. 7:2</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20</w:t>
            </w:r>
          </w:p>
        </w:tc>
      </w:tr>
      <w:tr w:rsidR="00D322A8" w:rsidTr="00AE031E">
        <w:trPr>
          <w:jc w:val="center"/>
        </w:trPr>
        <w:tc>
          <w:tcPr>
            <w:tcW w:w="77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32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pPr>
            <w:r>
              <w:t> </w:t>
            </w:r>
          </w:p>
        </w:tc>
        <w:tc>
          <w:tcPr>
            <w:tcW w:w="2694"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Total :</w:t>
            </w:r>
          </w:p>
        </w:tc>
        <w:tc>
          <w:tcPr>
            <w:tcW w:w="1275"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131 ans</w:t>
            </w:r>
          </w:p>
        </w:tc>
      </w:tr>
    </w:tbl>
    <w:p w:rsidR="00D322A8" w:rsidRDefault="006B6429" w:rsidP="00DB0C03">
      <w:pPr>
        <w:rPr>
          <w:lang w:val="fr-FR"/>
        </w:rPr>
      </w:pPr>
      <w:r>
        <w:rPr>
          <w:lang w:val="fr-FR"/>
        </w:rPr>
        <w:t> </w:t>
      </w:r>
    </w:p>
    <w:p w:rsidR="00D322A8" w:rsidRDefault="006B6429" w:rsidP="00DB0C03">
      <w:pPr>
        <w:rPr>
          <w:lang w:val="fr-FR"/>
        </w:rPr>
      </w:pPr>
      <w:r>
        <w:rPr>
          <w:lang w:val="fr-FR"/>
        </w:rPr>
        <w:t>À l’issue de cette phase, l’infidélité d’Israël avait entraîné la perte de l’arche et le jugement de : «I-</w:t>
      </w:r>
      <w:proofErr w:type="spellStart"/>
      <w:r>
        <w:rPr>
          <w:lang w:val="fr-FR"/>
        </w:rPr>
        <w:t>Cabod</w:t>
      </w:r>
      <w:proofErr w:type="spellEnd"/>
      <w:r>
        <w:rPr>
          <w:lang w:val="fr-FR"/>
        </w:rPr>
        <w:t>, disant : La gloire s’en est allée d’Israël» (1 Sam. 4:21). Dieu répond alors en grâce en donnant à son peuple comme roi David et Salomon, tous deux précieux types de Christ.</w:t>
      </w:r>
    </w:p>
    <w:p w:rsidR="00D322A8" w:rsidRDefault="006B6429">
      <w:pPr>
        <w:pStyle w:val="Titre3"/>
        <w:rPr>
          <w:rFonts w:eastAsia="Times New Roman"/>
          <w:lang w:val="fr-FR"/>
        </w:rPr>
      </w:pPr>
      <w:bookmarkStart w:id="3" w:name="TM256"/>
      <w:r>
        <w:rPr>
          <w:rFonts w:eastAsia="Times New Roman"/>
          <w:lang w:val="fr-FR"/>
        </w:rPr>
        <w:t>De Salomon à la déportation de Babylone :</w:t>
      </w:r>
      <w:bookmarkEnd w:id="3"/>
    </w:p>
    <w:p w:rsidR="00D322A8" w:rsidRDefault="006B6429" w:rsidP="00DB0C03">
      <w:pPr>
        <w:rPr>
          <w:lang w:val="fr-FR"/>
        </w:rPr>
      </w:pPr>
      <w:r>
        <w:rPr>
          <w:lang w:val="fr-FR"/>
        </w:rPr>
        <w:t>Cette deuxième période est celle de la royauté en Israël. L’infidélité de Salomon à la fin de son règne a entraîné le schisme entre Juda (les deux tribus de Juda et Benjamin) et Israël (les dix autres tribus). La continuité de l’histoire du peuple (et des voies de Dieu à son égard) est tracée par celle des vingt rois de Juda.</w:t>
      </w:r>
    </w:p>
    <w:p w:rsidR="00D322A8" w:rsidRDefault="006B6429">
      <w:pPr>
        <w:pStyle w:val="Usuel"/>
        <w:rPr>
          <w:lang w:val="fr-FR"/>
        </w:rPr>
      </w:pPr>
      <w:r>
        <w:rPr>
          <w:lang w:val="fr-FR"/>
        </w:rPr>
        <w:t>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37"/>
        <w:gridCol w:w="1560"/>
        <w:gridCol w:w="1417"/>
        <w:gridCol w:w="425"/>
        <w:gridCol w:w="709"/>
        <w:gridCol w:w="1418"/>
        <w:gridCol w:w="1417"/>
      </w:tblGrid>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lastRenderedPageBreak/>
              <w:t> </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Rois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Durée (ans)</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Rois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Durée (ans)</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Roboam</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17</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11</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Jotham</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16</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Abija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3</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12</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Achaz</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16</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3</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Asa</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41</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13</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Ézéchias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29</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4</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Josaphat</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25</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14</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Manassé</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55</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5</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Joram</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8</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15</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Amon</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6</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Achazia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16</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Josias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31</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7</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Athalie</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6</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17</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Joakhaz</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8</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Joas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18</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Jehoïakim</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11</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9</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Amatsia</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29</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19</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Jehoïakin</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10</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proofErr w:type="spellStart"/>
            <w:r>
              <w:rPr>
                <w:lang w:val="fr-FR"/>
              </w:rPr>
              <w:t>Ozias</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52</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20</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Sédécias</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11</w:t>
            </w:r>
          </w:p>
        </w:tc>
      </w:tr>
      <w:tr w:rsidR="00D322A8" w:rsidTr="00AE031E">
        <w:trPr>
          <w:jc w:val="center"/>
        </w:trPr>
        <w:tc>
          <w:tcPr>
            <w:tcW w:w="63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1560"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425" w:type="dxa"/>
            <w:tcBorders>
              <w:top w:val="single" w:sz="4" w:space="0" w:color="auto"/>
              <w:left w:val="single" w:sz="4" w:space="0" w:color="auto"/>
              <w:bottom w:val="single" w:sz="4" w:space="0" w:color="auto"/>
              <w:right w:val="single" w:sz="4" w:space="0" w:color="auto"/>
            </w:tcBorders>
            <w:shd w:val="clear" w:color="auto" w:fill="CCCCCC"/>
            <w:hideMark/>
          </w:tcPr>
          <w:p w:rsidR="00D322A8" w:rsidRDefault="006B6429">
            <w:pPr>
              <w:pStyle w:val="Usuel"/>
              <w:ind w:firstLine="0"/>
              <w:jc w:val="center"/>
            </w:pPr>
            <w:r>
              <w:t> </w:t>
            </w:r>
          </w:p>
        </w:tc>
        <w:tc>
          <w:tcPr>
            <w:tcW w:w="709"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t> </w:t>
            </w:r>
          </w:p>
        </w:tc>
        <w:tc>
          <w:tcPr>
            <w:tcW w:w="1418"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Total :</w:t>
            </w:r>
          </w:p>
        </w:tc>
        <w:tc>
          <w:tcPr>
            <w:tcW w:w="1417" w:type="dxa"/>
            <w:tcBorders>
              <w:top w:val="single" w:sz="4" w:space="0" w:color="auto"/>
              <w:left w:val="single" w:sz="4" w:space="0" w:color="auto"/>
              <w:bottom w:val="single" w:sz="4" w:space="0" w:color="auto"/>
              <w:right w:val="single" w:sz="4" w:space="0" w:color="auto"/>
            </w:tcBorders>
            <w:hideMark/>
          </w:tcPr>
          <w:p w:rsidR="00D322A8" w:rsidRDefault="006B6429">
            <w:pPr>
              <w:pStyle w:val="Usuel"/>
              <w:ind w:firstLine="0"/>
              <w:jc w:val="center"/>
            </w:pPr>
            <w:r>
              <w:rPr>
                <w:lang w:val="fr-FR"/>
              </w:rPr>
              <w:t>393</w:t>
            </w:r>
          </w:p>
        </w:tc>
      </w:tr>
    </w:tbl>
    <w:p w:rsidR="00D322A8" w:rsidRDefault="006B6429" w:rsidP="00DB0C03">
      <w:pPr>
        <w:rPr>
          <w:lang w:val="fr-FR"/>
        </w:rPr>
      </w:pPr>
      <w:r>
        <w:rPr>
          <w:lang w:val="fr-FR"/>
        </w:rPr>
        <w:t> </w:t>
      </w:r>
    </w:p>
    <w:p w:rsidR="00D322A8" w:rsidRDefault="006B6429" w:rsidP="00DB0C03">
      <w:pPr>
        <w:rPr>
          <w:lang w:val="fr-FR"/>
        </w:rPr>
      </w:pPr>
      <w:r>
        <w:rPr>
          <w:lang w:val="fr-FR"/>
        </w:rPr>
        <w:t>Le recouvrement du règne de certains rois ne permet pas de déterminer exactement la durée de cette période. Elle se termine par la déportation de Juda à Babylone, pendant soixante-dix ans. Le pays se repose alors de ses sabbats (2 Chr. 36:21).</w:t>
      </w:r>
    </w:p>
    <w:p w:rsidR="00D322A8" w:rsidRDefault="006B6429" w:rsidP="00DB0C03">
      <w:pPr>
        <w:rPr>
          <w:lang w:val="fr-FR"/>
        </w:rPr>
      </w:pPr>
      <w:r>
        <w:rPr>
          <w:lang w:val="fr-FR"/>
        </w:rPr>
        <w:t>Les meilleurs éléments connus à ce jour permettent de situer la déportation entre les dates de (-605) et (- 536). La fin du règne de Sédécias serait en (- 586).</w:t>
      </w:r>
    </w:p>
    <w:p w:rsidR="00D322A8" w:rsidRDefault="006B6429">
      <w:pPr>
        <w:pStyle w:val="Titre3"/>
        <w:rPr>
          <w:rFonts w:eastAsia="Times New Roman"/>
          <w:lang w:val="fr-FR"/>
        </w:rPr>
      </w:pPr>
      <w:bookmarkStart w:id="4" w:name="TM257"/>
      <w:r>
        <w:rPr>
          <w:rFonts w:eastAsia="Times New Roman"/>
          <w:lang w:val="fr-FR"/>
        </w:rPr>
        <w:t>Du retour de Babylone à l’instauration du règne millénaire de Christ :</w:t>
      </w:r>
      <w:bookmarkEnd w:id="4"/>
    </w:p>
    <w:p w:rsidR="00D322A8" w:rsidRDefault="006B6429" w:rsidP="00DB0C03">
      <w:pPr>
        <w:rPr>
          <w:lang w:val="fr-FR"/>
        </w:rPr>
      </w:pPr>
      <w:r>
        <w:rPr>
          <w:lang w:val="fr-FR"/>
        </w:rPr>
        <w:t>L’Écriture ne donne que très peu de détails sur cette troisième phase, sauf pour souligner la continuité du chemin de la foi dans les témoins de Christ (</w:t>
      </w:r>
      <w:proofErr w:type="spellStart"/>
      <w:r>
        <w:rPr>
          <w:lang w:val="fr-FR"/>
        </w:rPr>
        <w:t>Héb</w:t>
      </w:r>
      <w:proofErr w:type="spellEnd"/>
      <w:r>
        <w:rPr>
          <w:lang w:val="fr-FR"/>
        </w:rPr>
        <w:t>. 11:35-38). Les jalons de l’histoire des nations pendant cette période se trouvent dans le livre de Daniel, en particulier pendant la période des Macchabées (Dan. 11:3-35). Quatre cents ans de silence s’écoulent entre la voix du dernier messager de l’Éternel, Malachie, et la venue de Christ sur la terre.</w:t>
      </w:r>
    </w:p>
    <w:p w:rsidR="00D322A8" w:rsidRDefault="006B6429" w:rsidP="00DB0C03">
      <w:pPr>
        <w:rPr>
          <w:lang w:val="fr-FR"/>
        </w:rPr>
      </w:pPr>
      <w:r>
        <w:rPr>
          <w:lang w:val="fr-FR"/>
        </w:rPr>
        <w:t>La parole prophétique compte le temps en semaines d’années (de sept ans). Cette troisième période dure soixante-dix semaines (Dan. 9:24), qui se décomposent comme suit :</w:t>
      </w:r>
    </w:p>
    <w:p w:rsidR="00D322A8" w:rsidRDefault="006B6429">
      <w:pPr>
        <w:pStyle w:val="Usuel"/>
        <w:rPr>
          <w:lang w:val="fr-FR"/>
        </w:rPr>
      </w:pPr>
      <w:r>
        <w:rPr>
          <w:lang w:val="fr-FR"/>
        </w:rPr>
        <w:t>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449"/>
        <w:gridCol w:w="2126"/>
        <w:gridCol w:w="1985"/>
      </w:tblGrid>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Période</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Passage de l’Écriture</w:t>
            </w:r>
          </w:p>
        </w:tc>
        <w:tc>
          <w:tcPr>
            <w:tcW w:w="1985"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Semaines d’années</w:t>
            </w:r>
          </w:p>
        </w:tc>
      </w:tr>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Reconstruction de Jérusalem </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proofErr w:type="spellStart"/>
            <w:r>
              <w:rPr>
                <w:lang w:val="fr-FR"/>
              </w:rPr>
              <w:t>Neh</w:t>
            </w:r>
            <w:proofErr w:type="spellEnd"/>
            <w:r>
              <w:rPr>
                <w:lang w:val="fr-FR"/>
              </w:rPr>
              <w:t>. 1:1</w:t>
            </w:r>
          </w:p>
        </w:tc>
        <w:tc>
          <w:tcPr>
            <w:tcW w:w="1985"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7</w:t>
            </w:r>
          </w:p>
        </w:tc>
      </w:tr>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AE031E" w:rsidP="00DB0C03">
            <w:pPr>
              <w:jc w:val="left"/>
            </w:pPr>
            <w:r>
              <w:rPr>
                <w:lang w:val="fr-FR"/>
              </w:rPr>
              <w:t xml:space="preserve">Jusqu’à Christ et à sa mort </w:t>
            </w:r>
            <w:r w:rsidR="006B6429">
              <w:rPr>
                <w:lang w:val="fr-FR"/>
              </w:rPr>
              <w:t>(le Messie est retranché) </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Dan. 9:25, 26</w:t>
            </w:r>
          </w:p>
        </w:tc>
        <w:tc>
          <w:tcPr>
            <w:tcW w:w="1985"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62</w:t>
            </w:r>
          </w:p>
        </w:tc>
      </w:tr>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 xml:space="preserve">Interruption pendant la période de </w:t>
            </w:r>
            <w:r w:rsidR="00AE031E">
              <w:rPr>
                <w:lang w:val="fr-FR"/>
              </w:rPr>
              <w:t xml:space="preserve">l’Église qui est hors du temps </w:t>
            </w:r>
            <w:r>
              <w:rPr>
                <w:lang w:val="fr-FR"/>
              </w:rPr>
              <w:t>(l’horloge prophétique est arrêtée)</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Actes 1:7</w:t>
            </w:r>
          </w:p>
        </w:tc>
        <w:tc>
          <w:tcPr>
            <w:tcW w:w="1985" w:type="dxa"/>
            <w:tcBorders>
              <w:top w:val="single" w:sz="4" w:space="0" w:color="auto"/>
              <w:left w:val="single" w:sz="4" w:space="0" w:color="auto"/>
              <w:bottom w:val="single" w:sz="4" w:space="0" w:color="auto"/>
              <w:right w:val="single" w:sz="4" w:space="0" w:color="auto"/>
            </w:tcBorders>
            <w:shd w:val="clear" w:color="auto" w:fill="E0E0E0"/>
            <w:hideMark/>
          </w:tcPr>
          <w:p w:rsidR="00D322A8" w:rsidRDefault="006B6429" w:rsidP="00DB0C03">
            <w:pPr>
              <w:jc w:val="left"/>
            </w:pPr>
            <w:r>
              <w:t> </w:t>
            </w:r>
          </w:p>
        </w:tc>
      </w:tr>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Jugements de la fin</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t> </w:t>
            </w:r>
          </w:p>
        </w:tc>
        <w:tc>
          <w:tcPr>
            <w:tcW w:w="1985"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1</w:t>
            </w:r>
          </w:p>
        </w:tc>
      </w:tr>
      <w:tr w:rsidR="00D322A8" w:rsidTr="00AE031E">
        <w:tc>
          <w:tcPr>
            <w:tcW w:w="6449"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t> </w:t>
            </w:r>
          </w:p>
        </w:tc>
        <w:tc>
          <w:tcPr>
            <w:tcW w:w="2126" w:type="dxa"/>
            <w:tcBorders>
              <w:top w:val="single" w:sz="4" w:space="0" w:color="auto"/>
              <w:left w:val="single" w:sz="4" w:space="0" w:color="auto"/>
              <w:bottom w:val="single" w:sz="4" w:space="0" w:color="auto"/>
              <w:right w:val="single" w:sz="4" w:space="0" w:color="auto"/>
            </w:tcBorders>
            <w:hideMark/>
          </w:tcPr>
          <w:p w:rsidR="00D322A8" w:rsidRDefault="006B6429" w:rsidP="00DB0C03">
            <w:pPr>
              <w:jc w:val="left"/>
            </w:pPr>
            <w:r>
              <w:rPr>
                <w:lang w:val="fr-FR"/>
              </w:rPr>
              <w:t>Total</w:t>
            </w:r>
          </w:p>
        </w:tc>
        <w:tc>
          <w:tcPr>
            <w:tcW w:w="1985" w:type="dxa"/>
            <w:tcBorders>
              <w:top w:val="single" w:sz="4" w:space="0" w:color="auto"/>
              <w:left w:val="single" w:sz="4" w:space="0" w:color="auto"/>
              <w:bottom w:val="single" w:sz="4" w:space="0" w:color="auto"/>
              <w:right w:val="single" w:sz="4" w:space="0" w:color="auto"/>
            </w:tcBorders>
            <w:hideMark/>
          </w:tcPr>
          <w:p w:rsidR="00AE031E" w:rsidRDefault="006B6429" w:rsidP="00DB0C03">
            <w:pPr>
              <w:jc w:val="left"/>
              <w:rPr>
                <w:lang w:val="fr-FR"/>
              </w:rPr>
            </w:pPr>
            <w:r>
              <w:rPr>
                <w:lang w:val="fr-FR"/>
              </w:rPr>
              <w:t xml:space="preserve">70 semaines </w:t>
            </w:r>
          </w:p>
          <w:p w:rsidR="00D322A8" w:rsidRDefault="006B6429" w:rsidP="00DB0C03">
            <w:pPr>
              <w:jc w:val="left"/>
            </w:pPr>
            <w:r>
              <w:rPr>
                <w:lang w:val="fr-FR"/>
              </w:rPr>
              <w:t>= 490 ans</w:t>
            </w:r>
          </w:p>
        </w:tc>
      </w:tr>
    </w:tbl>
    <w:p w:rsidR="00D322A8" w:rsidRDefault="006B6429" w:rsidP="00DB0C03">
      <w:pPr>
        <w:rPr>
          <w:lang w:val="fr-FR"/>
        </w:rPr>
      </w:pPr>
      <w:r>
        <w:rPr>
          <w:lang w:val="fr-FR"/>
        </w:rPr>
        <w:lastRenderedPageBreak/>
        <w:t>La dernière semaine est divisée en deux périodes égales de trois ans et demi chacune, séparées par la chute de Satan sur la terre (</w:t>
      </w:r>
      <w:proofErr w:type="spellStart"/>
      <w:r>
        <w:rPr>
          <w:lang w:val="fr-FR"/>
        </w:rPr>
        <w:t>Apoc</w:t>
      </w:r>
      <w:proofErr w:type="spellEnd"/>
      <w:r>
        <w:rPr>
          <w:lang w:val="fr-FR"/>
        </w:rPr>
        <w:t>. 12:10) et l’interruption des sacrifices dans le temple de Jérusalem (Dan. 9:27). La dernière demi-semaine est désignée par les expressions équivalentes suivantes, suivant l’enseignement moral qui s’y rattache :</w:t>
      </w:r>
    </w:p>
    <w:p w:rsidR="00D322A8" w:rsidRDefault="006B6429" w:rsidP="00DB0C03">
      <w:pPr>
        <w:rPr>
          <w:lang w:val="fr-FR"/>
        </w:rPr>
      </w:pPr>
      <w:r>
        <w:rPr>
          <w:rFonts w:ascii="Symbol" w:hAnsi="Symbol"/>
          <w:lang w:val="fr-FR"/>
        </w:rPr>
        <w:t></w:t>
      </w:r>
      <w:r>
        <w:rPr>
          <w:sz w:val="14"/>
          <w:szCs w:val="14"/>
          <w:lang w:val="fr-FR"/>
        </w:rPr>
        <w:t xml:space="preserve">       </w:t>
      </w:r>
      <w:r>
        <w:rPr>
          <w:lang w:val="fr-FR"/>
        </w:rPr>
        <w:t>Une demi-semaine</w:t>
      </w:r>
    </w:p>
    <w:p w:rsidR="00D322A8" w:rsidRDefault="006B6429" w:rsidP="00DB0C03">
      <w:pPr>
        <w:rPr>
          <w:lang w:val="fr-FR"/>
        </w:rPr>
      </w:pPr>
      <w:r>
        <w:rPr>
          <w:rFonts w:ascii="Symbol" w:hAnsi="Symbol"/>
          <w:lang w:val="fr-FR"/>
        </w:rPr>
        <w:t></w:t>
      </w:r>
      <w:r>
        <w:rPr>
          <w:sz w:val="14"/>
          <w:szCs w:val="14"/>
          <w:lang w:val="fr-FR"/>
        </w:rPr>
        <w:t xml:space="preserve">       </w:t>
      </w:r>
      <w:r>
        <w:rPr>
          <w:lang w:val="fr-FR"/>
        </w:rPr>
        <w:t>Un temps déterminé, des temps déterminés et une moitié de temps (Dan. 12:7)</w:t>
      </w:r>
    </w:p>
    <w:p w:rsidR="00D322A8" w:rsidRDefault="006B6429" w:rsidP="00DB0C03">
      <w:pPr>
        <w:rPr>
          <w:lang w:val="fr-FR"/>
        </w:rPr>
      </w:pPr>
      <w:r>
        <w:rPr>
          <w:rFonts w:ascii="Symbol" w:hAnsi="Symbol"/>
          <w:lang w:val="fr-FR"/>
        </w:rPr>
        <w:t></w:t>
      </w:r>
      <w:r>
        <w:rPr>
          <w:sz w:val="14"/>
          <w:szCs w:val="14"/>
          <w:lang w:val="fr-FR"/>
        </w:rPr>
        <w:t xml:space="preserve">       </w:t>
      </w:r>
      <w:proofErr w:type="spellStart"/>
      <w:r>
        <w:rPr>
          <w:lang w:val="fr-FR"/>
        </w:rPr>
        <w:t>Quarante deux</w:t>
      </w:r>
      <w:proofErr w:type="spellEnd"/>
      <w:r>
        <w:rPr>
          <w:lang w:val="fr-FR"/>
        </w:rPr>
        <w:t xml:space="preserve"> mois (</w:t>
      </w:r>
      <w:proofErr w:type="spellStart"/>
      <w:r>
        <w:rPr>
          <w:lang w:val="fr-FR"/>
        </w:rPr>
        <w:t>Apoc</w:t>
      </w:r>
      <w:proofErr w:type="spellEnd"/>
      <w:r>
        <w:rPr>
          <w:lang w:val="fr-FR"/>
        </w:rPr>
        <w:t>. 13:5)</w:t>
      </w:r>
    </w:p>
    <w:p w:rsidR="00D322A8" w:rsidRDefault="006B6429" w:rsidP="00DB0C03">
      <w:pPr>
        <w:rPr>
          <w:lang w:val="fr-FR"/>
        </w:rPr>
      </w:pPr>
      <w:r>
        <w:rPr>
          <w:rFonts w:ascii="Symbol" w:hAnsi="Symbol"/>
          <w:lang w:val="fr-FR"/>
        </w:rPr>
        <w:t></w:t>
      </w:r>
      <w:r>
        <w:rPr>
          <w:sz w:val="14"/>
          <w:szCs w:val="14"/>
          <w:lang w:val="fr-FR"/>
        </w:rPr>
        <w:t xml:space="preserve">       </w:t>
      </w:r>
      <w:r>
        <w:rPr>
          <w:lang w:val="fr-FR"/>
        </w:rPr>
        <w:t>Mille deux cent soixante jours (</w:t>
      </w:r>
      <w:proofErr w:type="spellStart"/>
      <w:r>
        <w:rPr>
          <w:lang w:val="fr-FR"/>
        </w:rPr>
        <w:t>Apoc</w:t>
      </w:r>
      <w:proofErr w:type="spellEnd"/>
      <w:r>
        <w:rPr>
          <w:lang w:val="fr-FR"/>
        </w:rPr>
        <w:t>. 11:3 ; 12:6).</w:t>
      </w:r>
    </w:p>
    <w:p w:rsidR="00D322A8" w:rsidRDefault="006B6429" w:rsidP="00DB0C03">
      <w:pPr>
        <w:rPr>
          <w:lang w:val="fr-FR"/>
        </w:rPr>
      </w:pPr>
      <w:r>
        <w:rPr>
          <w:lang w:val="fr-FR"/>
        </w:rPr>
        <w:t>La purification du pays s’étendra sur une période plus longue ; la bénédiction millénaire est promise 30 ou 45 jours après l’achèvement de la dernière semaine d’années (Dan. 12:11, 12).</w:t>
      </w:r>
    </w:p>
    <w:p w:rsidR="00D322A8" w:rsidRDefault="006B6429">
      <w:pPr>
        <w:pStyle w:val="Titre3"/>
        <w:rPr>
          <w:rFonts w:eastAsia="Times New Roman"/>
          <w:lang w:val="fr-FR"/>
        </w:rPr>
      </w:pPr>
      <w:bookmarkStart w:id="5" w:name="TM258"/>
      <w:r>
        <w:rPr>
          <w:rFonts w:eastAsia="Times New Roman"/>
          <w:lang w:val="fr-FR"/>
        </w:rPr>
        <w:t>Les trois périodes de l’histoire d’Israël et Christ</w:t>
      </w:r>
      <w:bookmarkEnd w:id="5"/>
    </w:p>
    <w:p w:rsidR="00D322A8" w:rsidRDefault="006B6429" w:rsidP="00DB0C03">
      <w:pPr>
        <w:rPr>
          <w:lang w:val="fr-FR"/>
        </w:rPr>
      </w:pPr>
      <w:r>
        <w:rPr>
          <w:lang w:val="fr-FR"/>
        </w:rPr>
        <w:t>Les trois phases précédentes sont signalées dans la généalogie de Christ, le Messie d’Israël (Matt. 1), avec quelques variantes mineures qui n’altèrent pas la pensée de Dieu de tout faire concourir à la gloire de son Fils :</w:t>
      </w:r>
    </w:p>
    <w:p w:rsidR="00D322A8" w:rsidRPr="00AE031E" w:rsidRDefault="006B6429" w:rsidP="00AE031E">
      <w:pPr>
        <w:pStyle w:val="Paragraphedeliste"/>
        <w:numPr>
          <w:ilvl w:val="0"/>
          <w:numId w:val="2"/>
        </w:numPr>
        <w:rPr>
          <w:lang w:val="fr-FR"/>
        </w:rPr>
      </w:pPr>
      <w:r w:rsidRPr="00AE031E">
        <w:rPr>
          <w:lang w:val="fr-FR"/>
        </w:rPr>
        <w:t>Abraham à David</w:t>
      </w:r>
    </w:p>
    <w:p w:rsidR="00D322A8" w:rsidRPr="00AE031E" w:rsidRDefault="006B6429" w:rsidP="00AE031E">
      <w:pPr>
        <w:pStyle w:val="Paragraphedeliste"/>
        <w:numPr>
          <w:ilvl w:val="0"/>
          <w:numId w:val="2"/>
        </w:numPr>
        <w:rPr>
          <w:lang w:val="fr-FR"/>
        </w:rPr>
      </w:pPr>
      <w:r w:rsidRPr="00AE031E">
        <w:rPr>
          <w:lang w:val="fr-FR"/>
        </w:rPr>
        <w:t>David à la déportation</w:t>
      </w:r>
    </w:p>
    <w:p w:rsidR="00D322A8" w:rsidRPr="00AE031E" w:rsidRDefault="006B6429" w:rsidP="00AE031E">
      <w:pPr>
        <w:pStyle w:val="Paragraphedeliste"/>
        <w:numPr>
          <w:ilvl w:val="0"/>
          <w:numId w:val="2"/>
        </w:numPr>
        <w:rPr>
          <w:lang w:val="fr-FR"/>
        </w:rPr>
      </w:pPr>
      <w:r w:rsidRPr="00AE031E">
        <w:rPr>
          <w:lang w:val="fr-FR"/>
        </w:rPr>
        <w:t>Depuis la déportation de Babylone jusqu’au Christ.</w:t>
      </w:r>
    </w:p>
    <w:p w:rsidR="00D322A8" w:rsidRDefault="006B6429" w:rsidP="00DB0C03">
      <w:pPr>
        <w:rPr>
          <w:lang w:val="fr-FR"/>
        </w:rPr>
      </w:pPr>
      <w:r>
        <w:rPr>
          <w:lang w:val="fr-FR"/>
        </w:rPr>
        <w:t>Pour que chaque période comprenne 14 générations, l’Esprit de Dieu omet à dessein plusieurs rois, notamment le fils d’Athalie.</w:t>
      </w:r>
    </w:p>
    <w:p w:rsidR="00D322A8" w:rsidRDefault="006B6429" w:rsidP="00DB0C03">
      <w:pPr>
        <w:rPr>
          <w:lang w:val="fr-FR"/>
        </w:rPr>
      </w:pPr>
      <w:r>
        <w:rPr>
          <w:lang w:val="fr-FR"/>
        </w:rPr>
        <w:t>Esdras lui-même, dans son inscription généalogique (</w:t>
      </w:r>
      <w:proofErr w:type="spellStart"/>
      <w:r>
        <w:rPr>
          <w:lang w:val="fr-FR"/>
        </w:rPr>
        <w:t>Esd</w:t>
      </w:r>
      <w:proofErr w:type="spellEnd"/>
      <w:r>
        <w:rPr>
          <w:lang w:val="fr-FR"/>
        </w:rPr>
        <w:t>. 7:1-5) ne mentionne pas sept noms dans la chaîne continue de ses ascendants.</w:t>
      </w:r>
    </w:p>
    <w:p w:rsidR="00D322A8" w:rsidRDefault="006B6429" w:rsidP="00DB0C03">
      <w:pPr>
        <w:rPr>
          <w:lang w:val="fr-FR"/>
        </w:rPr>
      </w:pPr>
      <w:r>
        <w:rPr>
          <w:lang w:val="fr-FR"/>
        </w:rPr>
        <w:t> </w:t>
      </w:r>
    </w:p>
    <w:p w:rsidR="00D322A8" w:rsidRDefault="006B6429" w:rsidP="00DB0C03">
      <w:pPr>
        <w:rPr>
          <w:lang w:val="fr-FR"/>
        </w:rPr>
      </w:pPr>
      <w:r>
        <w:rPr>
          <w:lang w:val="fr-FR"/>
        </w:rPr>
        <w:t> </w:t>
      </w:r>
    </w:p>
    <w:sectPr w:rsidR="00D322A8" w:rsidSect="00AE03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F1"/>
    <w:multiLevelType w:val="hybridMultilevel"/>
    <w:tmpl w:val="F8BE358C"/>
    <w:lvl w:ilvl="0" w:tplc="89226C66">
      <w:start w:val="1"/>
      <w:numFmt w:val="decimal"/>
      <w:pStyle w:val="Titre3"/>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B780F91"/>
    <w:multiLevelType w:val="hybridMultilevel"/>
    <w:tmpl w:val="DC2077E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BD053DE"/>
    <w:multiLevelType w:val="hybridMultilevel"/>
    <w:tmpl w:val="79BCBE2C"/>
    <w:lvl w:ilvl="0" w:tplc="15CA4E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B433F"/>
    <w:rsid w:val="001033F5"/>
    <w:rsid w:val="003A2CB5"/>
    <w:rsid w:val="003D2BDB"/>
    <w:rsid w:val="006B6429"/>
    <w:rsid w:val="007324BF"/>
    <w:rsid w:val="009B433F"/>
    <w:rsid w:val="00AE031E"/>
    <w:rsid w:val="00D322A8"/>
    <w:rsid w:val="00DB0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1E"/>
    <w:pPr>
      <w:spacing w:before="120" w:after="120"/>
      <w:jc w:val="both"/>
    </w:pPr>
    <w:rPr>
      <w:rFonts w:ascii="Calibri" w:eastAsiaTheme="minorEastAsia" w:hAnsi="Calibri"/>
      <w:sz w:val="22"/>
      <w:szCs w:val="24"/>
    </w:rPr>
  </w:style>
  <w:style w:type="paragraph" w:styleId="Titre1">
    <w:name w:val="heading 1"/>
    <w:next w:val="Normal"/>
    <w:link w:val="Titre1Car"/>
    <w:uiPriority w:val="9"/>
    <w:qFormat/>
    <w:rsid w:val="003D2BDB"/>
    <w:pPr>
      <w:tabs>
        <w:tab w:val="num" w:pos="432"/>
      </w:tabs>
      <w:spacing w:before="240" w:after="240"/>
      <w:outlineLvl w:val="0"/>
    </w:pPr>
    <w:rPr>
      <w:rFonts w:ascii="Calibri" w:eastAsiaTheme="minorEastAsia" w:hAnsi="Calibri"/>
      <w:b/>
      <w:bCs/>
      <w:color w:val="002060"/>
      <w:sz w:val="32"/>
      <w:szCs w:val="32"/>
    </w:rPr>
  </w:style>
  <w:style w:type="paragraph" w:styleId="Titre2">
    <w:name w:val="heading 2"/>
    <w:next w:val="Normal"/>
    <w:link w:val="Titre2Car"/>
    <w:uiPriority w:val="9"/>
    <w:qFormat/>
    <w:rsid w:val="003D2BDB"/>
    <w:pPr>
      <w:tabs>
        <w:tab w:val="num" w:pos="576"/>
      </w:tabs>
      <w:spacing w:before="240" w:after="240"/>
      <w:outlineLvl w:val="1"/>
    </w:pPr>
    <w:rPr>
      <w:rFonts w:ascii="Calibri" w:eastAsiaTheme="minorEastAsia" w:hAnsi="Calibri"/>
      <w:b/>
      <w:bCs/>
      <w:color w:val="002060"/>
      <w:sz w:val="28"/>
      <w:szCs w:val="28"/>
    </w:rPr>
  </w:style>
  <w:style w:type="paragraph" w:styleId="Titre3">
    <w:name w:val="heading 3"/>
    <w:next w:val="Normal"/>
    <w:link w:val="Titre3Car"/>
    <w:uiPriority w:val="9"/>
    <w:qFormat/>
    <w:rsid w:val="00AE031E"/>
    <w:pPr>
      <w:numPr>
        <w:numId w:val="1"/>
      </w:numPr>
      <w:spacing w:before="240" w:after="240"/>
      <w:ind w:left="357" w:hanging="357"/>
      <w:outlineLvl w:val="2"/>
    </w:pPr>
    <w:rPr>
      <w:rFonts w:ascii="Calibri" w:eastAsiaTheme="minorEastAsia" w:hAnsi="Calibri"/>
      <w:b/>
      <w:bCs/>
      <w:color w:val="002060"/>
      <w:sz w:val="22"/>
      <w:szCs w:val="24"/>
      <w:u w:val="single"/>
    </w:rPr>
  </w:style>
  <w:style w:type="paragraph" w:styleId="Titre4">
    <w:name w:val="heading 4"/>
    <w:next w:val="Normal"/>
    <w:link w:val="Titre4Car"/>
    <w:uiPriority w:val="9"/>
    <w:qFormat/>
    <w:pPr>
      <w:tabs>
        <w:tab w:val="num" w:pos="864"/>
      </w:tabs>
      <w:spacing w:before="120" w:after="120"/>
      <w:ind w:firstLine="284"/>
      <w:outlineLvl w:val="3"/>
    </w:pPr>
    <w:rPr>
      <w:rFonts w:eastAsiaTheme="minorEastAsia"/>
      <w:b/>
      <w:bCs/>
      <w:iCs/>
      <w:color w:val="99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3D2BDB"/>
    <w:rPr>
      <w:rFonts w:ascii="Calibri" w:eastAsiaTheme="minorEastAsia" w:hAnsi="Calibri"/>
      <w:b/>
      <w:bCs/>
      <w:color w:val="002060"/>
      <w:sz w:val="32"/>
      <w:szCs w:val="32"/>
    </w:rPr>
  </w:style>
  <w:style w:type="character" w:customStyle="1" w:styleId="Titre2Car">
    <w:name w:val="Titre 2 Car"/>
    <w:basedOn w:val="Policepardfaut"/>
    <w:link w:val="Titre2"/>
    <w:uiPriority w:val="9"/>
    <w:rsid w:val="003D2BDB"/>
    <w:rPr>
      <w:rFonts w:ascii="Calibri" w:eastAsiaTheme="minorEastAsia" w:hAnsi="Calibri"/>
      <w:b/>
      <w:bCs/>
      <w:color w:val="002060"/>
      <w:sz w:val="28"/>
      <w:szCs w:val="28"/>
    </w:rPr>
  </w:style>
  <w:style w:type="character" w:customStyle="1" w:styleId="Titre3Car">
    <w:name w:val="Titre 3 Car"/>
    <w:basedOn w:val="Policepardfaut"/>
    <w:link w:val="Titre3"/>
    <w:uiPriority w:val="9"/>
    <w:rsid w:val="00AE031E"/>
    <w:rPr>
      <w:rFonts w:ascii="Calibri" w:eastAsiaTheme="minorEastAsia" w:hAnsi="Calibri"/>
      <w:b/>
      <w:bCs/>
      <w:color w:val="002060"/>
      <w:sz w:val="22"/>
      <w:szCs w:val="24"/>
      <w:u w:val="single"/>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paragraph" w:styleId="TM1">
    <w:name w:val="toc 1"/>
    <w:basedOn w:val="Normal"/>
    <w:next w:val="Normal"/>
    <w:autoRedefine/>
    <w:uiPriority w:val="39"/>
    <w:semiHidden/>
    <w:unhideWhenUsed/>
    <w:rPr>
      <w:rFonts w:eastAsia="Times New Roman"/>
      <w:sz w:val="20"/>
      <w:szCs w:val="20"/>
    </w:rPr>
  </w:style>
  <w:style w:type="paragraph" w:styleId="TM2">
    <w:name w:val="toc 2"/>
    <w:basedOn w:val="Normal"/>
    <w:next w:val="Normal"/>
    <w:autoRedefine/>
    <w:uiPriority w:val="39"/>
    <w:semiHidden/>
    <w:unhideWhenUsed/>
    <w:pPr>
      <w:ind w:left="200"/>
    </w:pPr>
    <w:rPr>
      <w:rFonts w:eastAsia="Times New Roman"/>
      <w:sz w:val="20"/>
      <w:szCs w:val="20"/>
    </w:rPr>
  </w:style>
  <w:style w:type="paragraph" w:styleId="TM3">
    <w:name w:val="toc 3"/>
    <w:basedOn w:val="Normal"/>
    <w:next w:val="Normal"/>
    <w:autoRedefine/>
    <w:uiPriority w:val="39"/>
    <w:semiHidden/>
    <w:unhideWhenUsed/>
    <w:pPr>
      <w:ind w:left="400"/>
    </w:pPr>
    <w:rPr>
      <w:rFonts w:eastAsia="Times New Roman"/>
      <w:sz w:val="20"/>
      <w:szCs w:val="20"/>
    </w:rPr>
  </w:style>
  <w:style w:type="paragraph" w:styleId="TM4">
    <w:name w:val="toc 4"/>
    <w:basedOn w:val="Normal"/>
    <w:next w:val="Normal"/>
    <w:autoRedefine/>
    <w:uiPriority w:val="39"/>
    <w:semiHidden/>
    <w:unhideWhenUsed/>
    <w:pPr>
      <w:ind w:left="600"/>
    </w:pPr>
    <w:rPr>
      <w:rFonts w:eastAsia="Times New Roman"/>
      <w:sz w:val="20"/>
      <w:szCs w:val="20"/>
    </w:rPr>
  </w:style>
  <w:style w:type="paragraph" w:customStyle="1" w:styleId="Usuel">
    <w:name w:val="Usuel"/>
    <w:basedOn w:val="Normal"/>
    <w:pPr>
      <w:spacing w:line="300" w:lineRule="atLeast"/>
      <w:ind w:firstLine="567"/>
    </w:pPr>
    <w:rPr>
      <w:rFonts w:eastAsia="Times New Roman"/>
    </w:rPr>
  </w:style>
  <w:style w:type="paragraph" w:customStyle="1" w:styleId="Notes">
    <w:name w:val="Notes"/>
    <w:basedOn w:val="Usuel"/>
    <w:pPr>
      <w:spacing w:before="240" w:after="240"/>
    </w:pPr>
    <w:rPr>
      <w:rFonts w:ascii="Arial" w:hAnsi="Arial"/>
      <w:color w:val="008000"/>
    </w:rPr>
  </w:style>
  <w:style w:type="paragraph" w:styleId="NormalWeb">
    <w:name w:val="Normal (Web)"/>
    <w:basedOn w:val="Normal"/>
    <w:uiPriority w:val="99"/>
    <w:semiHidden/>
    <w:unhideWhenUsed/>
    <w:pPr>
      <w:spacing w:before="100" w:beforeAutospacing="1" w:after="100" w:afterAutospacing="1"/>
    </w:pPr>
  </w:style>
  <w:style w:type="paragraph" w:styleId="Titre">
    <w:name w:val="Title"/>
    <w:basedOn w:val="Normal"/>
    <w:next w:val="Normal"/>
    <w:link w:val="TitreCar"/>
    <w:uiPriority w:val="10"/>
    <w:qFormat/>
    <w:rsid w:val="00AE031E"/>
    <w:pPr>
      <w:pBdr>
        <w:bottom w:val="single" w:sz="8" w:space="4" w:color="4F81BD" w:themeColor="accent1"/>
      </w:pBdr>
      <w:spacing w:after="240"/>
      <w:contextualSpacing/>
    </w:pPr>
    <w:rPr>
      <w:rFonts w:eastAsiaTheme="majorEastAsia" w:cstheme="majorBidi"/>
      <w:b/>
      <w:color w:val="002060"/>
      <w:spacing w:val="5"/>
      <w:kern w:val="28"/>
      <w:sz w:val="36"/>
      <w:szCs w:val="52"/>
    </w:rPr>
  </w:style>
  <w:style w:type="character" w:customStyle="1" w:styleId="TitreCar">
    <w:name w:val="Titre Car"/>
    <w:basedOn w:val="Policepardfaut"/>
    <w:link w:val="Titre"/>
    <w:uiPriority w:val="10"/>
    <w:rsid w:val="00AE031E"/>
    <w:rPr>
      <w:rFonts w:ascii="Calibri" w:eastAsiaTheme="majorEastAsia" w:hAnsi="Calibri" w:cstheme="majorBidi"/>
      <w:b/>
      <w:color w:val="002060"/>
      <w:spacing w:val="5"/>
      <w:kern w:val="28"/>
      <w:sz w:val="36"/>
      <w:szCs w:val="52"/>
    </w:rPr>
  </w:style>
  <w:style w:type="paragraph" w:styleId="Paragraphedeliste">
    <w:name w:val="List Paragraph"/>
    <w:basedOn w:val="Normal"/>
    <w:uiPriority w:val="34"/>
    <w:qFormat/>
    <w:rsid w:val="00AE03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1E"/>
    <w:pPr>
      <w:spacing w:before="120" w:after="120"/>
      <w:jc w:val="both"/>
    </w:pPr>
    <w:rPr>
      <w:rFonts w:ascii="Calibri" w:eastAsiaTheme="minorEastAsia" w:hAnsi="Calibri"/>
      <w:sz w:val="22"/>
      <w:szCs w:val="24"/>
    </w:rPr>
  </w:style>
  <w:style w:type="paragraph" w:styleId="Titre1">
    <w:name w:val="heading 1"/>
    <w:next w:val="Normal"/>
    <w:link w:val="Titre1Car"/>
    <w:uiPriority w:val="9"/>
    <w:qFormat/>
    <w:rsid w:val="003D2BDB"/>
    <w:pPr>
      <w:tabs>
        <w:tab w:val="num" w:pos="432"/>
      </w:tabs>
      <w:spacing w:before="240" w:after="240"/>
      <w:outlineLvl w:val="0"/>
    </w:pPr>
    <w:rPr>
      <w:rFonts w:ascii="Calibri" w:eastAsiaTheme="minorEastAsia" w:hAnsi="Calibri"/>
      <w:b/>
      <w:bCs/>
      <w:color w:val="002060"/>
      <w:sz w:val="32"/>
      <w:szCs w:val="32"/>
    </w:rPr>
  </w:style>
  <w:style w:type="paragraph" w:styleId="Titre2">
    <w:name w:val="heading 2"/>
    <w:next w:val="Normal"/>
    <w:link w:val="Titre2Car"/>
    <w:uiPriority w:val="9"/>
    <w:qFormat/>
    <w:rsid w:val="003D2BDB"/>
    <w:pPr>
      <w:tabs>
        <w:tab w:val="num" w:pos="576"/>
      </w:tabs>
      <w:spacing w:before="240" w:after="240"/>
      <w:outlineLvl w:val="1"/>
    </w:pPr>
    <w:rPr>
      <w:rFonts w:ascii="Calibri" w:eastAsiaTheme="minorEastAsia" w:hAnsi="Calibri"/>
      <w:b/>
      <w:bCs/>
      <w:color w:val="002060"/>
      <w:sz w:val="28"/>
      <w:szCs w:val="28"/>
    </w:rPr>
  </w:style>
  <w:style w:type="paragraph" w:styleId="Titre3">
    <w:name w:val="heading 3"/>
    <w:next w:val="Normal"/>
    <w:link w:val="Titre3Car"/>
    <w:uiPriority w:val="9"/>
    <w:qFormat/>
    <w:rsid w:val="00AE031E"/>
    <w:pPr>
      <w:numPr>
        <w:numId w:val="1"/>
      </w:numPr>
      <w:spacing w:before="240" w:after="240"/>
      <w:ind w:left="357" w:hanging="357"/>
      <w:outlineLvl w:val="2"/>
    </w:pPr>
    <w:rPr>
      <w:rFonts w:ascii="Calibri" w:eastAsiaTheme="minorEastAsia" w:hAnsi="Calibri"/>
      <w:b/>
      <w:bCs/>
      <w:color w:val="002060"/>
      <w:sz w:val="22"/>
      <w:szCs w:val="24"/>
      <w:u w:val="single"/>
    </w:rPr>
  </w:style>
  <w:style w:type="paragraph" w:styleId="Titre4">
    <w:name w:val="heading 4"/>
    <w:next w:val="Normal"/>
    <w:link w:val="Titre4Car"/>
    <w:uiPriority w:val="9"/>
    <w:qFormat/>
    <w:pPr>
      <w:tabs>
        <w:tab w:val="num" w:pos="864"/>
      </w:tabs>
      <w:spacing w:before="120" w:after="120"/>
      <w:ind w:firstLine="284"/>
      <w:outlineLvl w:val="3"/>
    </w:pPr>
    <w:rPr>
      <w:rFonts w:eastAsiaTheme="minorEastAsia"/>
      <w:b/>
      <w:bCs/>
      <w:iCs/>
      <w:color w:val="9900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3D2BDB"/>
    <w:rPr>
      <w:rFonts w:ascii="Calibri" w:eastAsiaTheme="minorEastAsia" w:hAnsi="Calibri"/>
      <w:b/>
      <w:bCs/>
      <w:color w:val="002060"/>
      <w:sz w:val="32"/>
      <w:szCs w:val="32"/>
    </w:rPr>
  </w:style>
  <w:style w:type="character" w:customStyle="1" w:styleId="Titre2Car">
    <w:name w:val="Titre 2 Car"/>
    <w:basedOn w:val="Policepardfaut"/>
    <w:link w:val="Titre2"/>
    <w:uiPriority w:val="9"/>
    <w:rsid w:val="003D2BDB"/>
    <w:rPr>
      <w:rFonts w:ascii="Calibri" w:eastAsiaTheme="minorEastAsia" w:hAnsi="Calibri"/>
      <w:b/>
      <w:bCs/>
      <w:color w:val="002060"/>
      <w:sz w:val="28"/>
      <w:szCs w:val="28"/>
    </w:rPr>
  </w:style>
  <w:style w:type="character" w:customStyle="1" w:styleId="Titre3Car">
    <w:name w:val="Titre 3 Car"/>
    <w:basedOn w:val="Policepardfaut"/>
    <w:link w:val="Titre3"/>
    <w:uiPriority w:val="9"/>
    <w:rsid w:val="00AE031E"/>
    <w:rPr>
      <w:rFonts w:ascii="Calibri" w:eastAsiaTheme="minorEastAsia" w:hAnsi="Calibri"/>
      <w:b/>
      <w:bCs/>
      <w:color w:val="002060"/>
      <w:sz w:val="22"/>
      <w:szCs w:val="24"/>
      <w:u w:val="single"/>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4F81BD" w:themeColor="accent1"/>
      <w:sz w:val="24"/>
      <w:szCs w:val="24"/>
    </w:rPr>
  </w:style>
  <w:style w:type="paragraph" w:styleId="TM1">
    <w:name w:val="toc 1"/>
    <w:basedOn w:val="Normal"/>
    <w:next w:val="Normal"/>
    <w:autoRedefine/>
    <w:uiPriority w:val="39"/>
    <w:semiHidden/>
    <w:unhideWhenUsed/>
    <w:rPr>
      <w:rFonts w:eastAsia="Times New Roman"/>
      <w:sz w:val="20"/>
      <w:szCs w:val="20"/>
    </w:rPr>
  </w:style>
  <w:style w:type="paragraph" w:styleId="TM2">
    <w:name w:val="toc 2"/>
    <w:basedOn w:val="Normal"/>
    <w:next w:val="Normal"/>
    <w:autoRedefine/>
    <w:uiPriority w:val="39"/>
    <w:semiHidden/>
    <w:unhideWhenUsed/>
    <w:pPr>
      <w:ind w:left="200"/>
    </w:pPr>
    <w:rPr>
      <w:rFonts w:eastAsia="Times New Roman"/>
      <w:sz w:val="20"/>
      <w:szCs w:val="20"/>
    </w:rPr>
  </w:style>
  <w:style w:type="paragraph" w:styleId="TM3">
    <w:name w:val="toc 3"/>
    <w:basedOn w:val="Normal"/>
    <w:next w:val="Normal"/>
    <w:autoRedefine/>
    <w:uiPriority w:val="39"/>
    <w:semiHidden/>
    <w:unhideWhenUsed/>
    <w:pPr>
      <w:ind w:left="400"/>
    </w:pPr>
    <w:rPr>
      <w:rFonts w:eastAsia="Times New Roman"/>
      <w:sz w:val="20"/>
      <w:szCs w:val="20"/>
    </w:rPr>
  </w:style>
  <w:style w:type="paragraph" w:styleId="TM4">
    <w:name w:val="toc 4"/>
    <w:basedOn w:val="Normal"/>
    <w:next w:val="Normal"/>
    <w:autoRedefine/>
    <w:uiPriority w:val="39"/>
    <w:semiHidden/>
    <w:unhideWhenUsed/>
    <w:pPr>
      <w:ind w:left="600"/>
    </w:pPr>
    <w:rPr>
      <w:rFonts w:eastAsia="Times New Roman"/>
      <w:sz w:val="20"/>
      <w:szCs w:val="20"/>
    </w:rPr>
  </w:style>
  <w:style w:type="paragraph" w:customStyle="1" w:styleId="Usuel">
    <w:name w:val="Usuel"/>
    <w:basedOn w:val="Normal"/>
    <w:pPr>
      <w:spacing w:line="300" w:lineRule="atLeast"/>
      <w:ind w:firstLine="567"/>
    </w:pPr>
    <w:rPr>
      <w:rFonts w:eastAsia="Times New Roman"/>
    </w:rPr>
  </w:style>
  <w:style w:type="paragraph" w:customStyle="1" w:styleId="Notes">
    <w:name w:val="Notes"/>
    <w:basedOn w:val="Usuel"/>
    <w:pPr>
      <w:spacing w:before="240" w:after="240"/>
    </w:pPr>
    <w:rPr>
      <w:rFonts w:ascii="Arial" w:hAnsi="Arial"/>
      <w:color w:val="008000"/>
    </w:rPr>
  </w:style>
  <w:style w:type="paragraph" w:styleId="NormalWeb">
    <w:name w:val="Normal (Web)"/>
    <w:basedOn w:val="Normal"/>
    <w:uiPriority w:val="99"/>
    <w:semiHidden/>
    <w:unhideWhenUsed/>
    <w:pPr>
      <w:spacing w:before="100" w:beforeAutospacing="1" w:after="100" w:afterAutospacing="1"/>
    </w:pPr>
  </w:style>
  <w:style w:type="paragraph" w:styleId="Titre">
    <w:name w:val="Title"/>
    <w:basedOn w:val="Normal"/>
    <w:next w:val="Normal"/>
    <w:link w:val="TitreCar"/>
    <w:uiPriority w:val="10"/>
    <w:qFormat/>
    <w:rsid w:val="00AE031E"/>
    <w:pPr>
      <w:pBdr>
        <w:bottom w:val="single" w:sz="8" w:space="4" w:color="4F81BD" w:themeColor="accent1"/>
      </w:pBdr>
      <w:spacing w:after="240"/>
      <w:contextualSpacing/>
    </w:pPr>
    <w:rPr>
      <w:rFonts w:eastAsiaTheme="majorEastAsia" w:cstheme="majorBidi"/>
      <w:b/>
      <w:color w:val="002060"/>
      <w:spacing w:val="5"/>
      <w:kern w:val="28"/>
      <w:sz w:val="36"/>
      <w:szCs w:val="52"/>
    </w:rPr>
  </w:style>
  <w:style w:type="character" w:customStyle="1" w:styleId="TitreCar">
    <w:name w:val="Titre Car"/>
    <w:basedOn w:val="Policepardfaut"/>
    <w:link w:val="Titre"/>
    <w:uiPriority w:val="10"/>
    <w:rsid w:val="00AE031E"/>
    <w:rPr>
      <w:rFonts w:ascii="Calibri" w:eastAsiaTheme="majorEastAsia" w:hAnsi="Calibri" w:cstheme="majorBidi"/>
      <w:b/>
      <w:color w:val="002060"/>
      <w:spacing w:val="5"/>
      <w:kern w:val="28"/>
      <w:sz w:val="36"/>
      <w:szCs w:val="52"/>
    </w:rPr>
  </w:style>
  <w:style w:type="paragraph" w:styleId="Paragraphedeliste">
    <w:name w:val="List Paragraph"/>
    <w:basedOn w:val="Normal"/>
    <w:uiPriority w:val="34"/>
    <w:qFormat/>
    <w:rsid w:val="00AE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885</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Sommaire des livres des petits prophètes</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livres des petits prophètes</dc:title>
  <dc:subject>Sommaire des livres des petits prophètes</dc:subject>
  <dc:creator>Muller Jean (http://www.bibliquest.org)</dc:creator>
  <cp:keywords>prophètes, petits, sommaire, prophétie, événements, histoire, futur, fin des temps,</cp:keywords>
  <cp:lastModifiedBy>Claude Beauport</cp:lastModifiedBy>
  <cp:revision>5</cp:revision>
  <cp:lastPrinted>2013-12-15T06:14:00Z</cp:lastPrinted>
  <dcterms:created xsi:type="dcterms:W3CDTF">2013-12-14T09:26:00Z</dcterms:created>
  <dcterms:modified xsi:type="dcterms:W3CDTF">2013-12-15T06:14:00Z</dcterms:modified>
  <cp:category>christianisme</cp:category>
</cp:coreProperties>
</file>